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40" w:lineRule="auto"/>
        <w:jc w:val="center"/>
      </w:pPr>
      <w:r>
        <w:rPr>
          <w:rFonts w:ascii="Times New Roman" w:cs="Times New Roman" w:eastAsia="Times New Roman" w:hAnsi="Times New Roman"/>
          <w:b/>
          <w:bCs/>
          <w:color w:val="000000"/>
          <w:sz w:val="32"/>
          <w:szCs w:val="32"/>
        </w:rPr>
        <w:t xml:space="preserve">The Impromptu Policy Brief</w:t>
      </w:r>
    </w:p>
    <w:p>
      <w:pPr>
        <w:spacing w:after="60" w:before="0" w:line="240" w:lineRule="auto"/>
        <w:jc w:val="center"/>
      </w:pPr>
      <w:r>
        <w:rPr>
          <w:rFonts w:ascii="Times New Roman" w:cs="Times New Roman" w:eastAsia="Times New Roman" w:hAnsi="Times New Roman"/>
          <w:i/>
          <w:iCs/>
          <w:color w:val="000000"/>
          <w:sz w:val="24"/>
          <w:szCs w:val="24"/>
        </w:rPr>
        <w:t xml:space="preserve">A how-to for instructors, from POLI 212: Introduction to Public Policy</w:t>
      </w:r>
    </w:p>
    <w:p>
      <w:pPr>
        <w:spacing w:after="240" w:before="0" w:line="240" w:lineRule="auto"/>
        <w:jc w:val="center"/>
      </w:pPr>
      <w:r>
        <w:rPr>
          <w:rFonts w:ascii="Times New Roman" w:cs="Times New Roman" w:eastAsia="Times New Roman" w:hAnsi="Times New Roman"/>
          <w:color w:val="000000"/>
          <w:sz w:val="22"/>
          <w:szCs w:val="22"/>
        </w:rPr>
        <w:t xml:space="preserve">Nicholas Clark, Susquehanna University  ·  September 19, 2026</w:t>
      </w:r>
    </w:p>
    <w:p>
      <w:pPr>
        <w:spacing w:after="0" w:before="0" w:line="240" w:lineRule="auto"/>
        <w:ind w:firstLine="480"/>
      </w:pPr>
      <w:r>
        <w:rPr>
          <w:rFonts w:ascii="Times New Roman" w:cs="Times New Roman" w:eastAsia="Times New Roman" w:hAnsi="Times New Roman"/>
          <w:color w:val="000000"/>
          <w:sz w:val="24"/>
          <w:szCs w:val="24"/>
        </w:rPr>
        <w:t xml:space="preserve">Most policy writing assignments give students weeks. Real policy writing rarely does. The impromptu brief is a single class session in which students are handed a problem cold and have to produce a usable one-page recommendation before they leave the room. It is the third and last of three policy briefs in the course, it is worth five percent of the final grade, and it takes almost no preparation to run.</w:t>
      </w:r>
    </w:p>
    <w:p>
      <w:pPr>
        <w:spacing w:after="0" w:before="0" w:line="240" w:lineRule="auto"/>
        <w:ind w:firstLine="480"/>
      </w:pPr>
      <w:r>
        <w:rPr>
          <w:rFonts w:ascii="Times New Roman" w:cs="Times New Roman" w:eastAsia="Times New Roman" w:hAnsi="Times New Roman"/>
          <w:color w:val="000000"/>
          <w:sz w:val="24"/>
          <w:szCs w:val="24"/>
        </w:rPr>
        <w:t xml:space="preserve">The exercise works because of a piece of theater. The instructor does not assign the brief; a supervisor does. The instructor plays an agency head, a governor, or a university president who has forgotten a deadline and now needs something on his desk within the hour. Students are staff. That framing does more work than any amount of explanation about professional expectations, because it puts them in the position rather than describing it to them.</w:t>
      </w:r>
    </w:p>
    <w:p>
      <w:pPr>
        <w:pStyle w:val="Heading1"/>
        <w:spacing w:after="120" w:before="340" w:line="240" w:lineRule="auto"/>
      </w:pPr>
      <w:r>
        <w:rPr>
          <w:rFonts w:ascii="Times New Roman" w:cs="Times New Roman" w:eastAsia="Times New Roman" w:hAnsi="Times New Roman"/>
          <w:b/>
          <w:bCs/>
          <w:color w:val="000000"/>
          <w:sz w:val="28"/>
          <w:szCs w:val="28"/>
        </w:rPr>
        <w:t xml:space="preserve">What it teaches</w:t>
      </w:r>
    </w:p>
    <w:p>
      <w:pPr>
        <w:spacing w:after="0" w:before="0" w:line="240" w:lineRule="auto"/>
        <w:ind w:firstLine="480"/>
      </w:pPr>
      <w:r>
        <w:rPr>
          <w:rFonts w:ascii="Times New Roman" w:cs="Times New Roman" w:eastAsia="Times New Roman" w:hAnsi="Times New Roman"/>
          <w:color w:val="000000"/>
          <w:sz w:val="24"/>
          <w:szCs w:val="24"/>
        </w:rPr>
        <w:t xml:space="preserve">Two take-home briefs come earlier in the semester, and both reward depth: students identify a problem, research it properly, review existing policy responses, and recommend a course of action over two to three single-spaced pages. The impromptu brief deliberately strips that away. The skills it isolates are the ones the take-home format hides.</w:t>
      </w:r>
    </w:p>
    <w:p>
      <w:pPr>
        <w:spacing w:after="0" w:before="0" w:line="240" w:lineRule="auto"/>
        <w:ind w:firstLine="480"/>
      </w:pPr>
      <w:r>
        <w:rPr>
          <w:rFonts w:ascii="Times New Roman" w:cs="Times New Roman" w:eastAsia="Times New Roman" w:hAnsi="Times New Roman"/>
          <w:color w:val="000000"/>
          <w:sz w:val="24"/>
          <w:szCs w:val="24"/>
        </w:rPr>
        <w:t xml:space="preserve">Students have to scope a problem down to something answerable in an hour. They have to find credible sources fast and judge them on the fly, without time to read everything. They have to commit to a recommendation on incomplete information and defend it anyway, which is the part most of them have never had to do. And they have to produce something structured and readable under time pressure, which turns out to be a separate skill from producing something structured and readable at leisure.</w:t>
      </w:r>
    </w:p>
    <w:p>
      <w:pPr>
        <w:spacing w:after="0" w:before="0" w:line="240" w:lineRule="auto"/>
        <w:ind w:firstLine="480"/>
      </w:pPr>
      <w:r>
        <w:rPr>
          <w:rFonts w:ascii="Times New Roman" w:cs="Times New Roman" w:eastAsia="Times New Roman" w:hAnsi="Times New Roman"/>
          <w:color w:val="000000"/>
          <w:sz w:val="24"/>
          <w:szCs w:val="24"/>
        </w:rPr>
        <w:t xml:space="preserve">It also does something quieter. Students who have been coasting on polish discover that polish takes time they do not have, and students who have been over-researching discover that they can in fact decide. Both lessons land harder in a single hour than in a semester of feedback.</w:t>
      </w:r>
    </w:p>
    <w:p>
      <w:pPr>
        <w:pStyle w:val="Heading1"/>
        <w:spacing w:after="120" w:before="340" w:line="240" w:lineRule="auto"/>
      </w:pPr>
      <w:r>
        <w:rPr>
          <w:rFonts w:ascii="Times New Roman" w:cs="Times New Roman" w:eastAsia="Times New Roman" w:hAnsi="Times New Roman"/>
          <w:b/>
          <w:bCs/>
          <w:color w:val="000000"/>
          <w:sz w:val="28"/>
          <w:szCs w:val="28"/>
        </w:rPr>
        <w:t xml:space="preserve">Where it sits in the course</w:t>
      </w:r>
    </w:p>
    <w:p>
      <w:pPr>
        <w:spacing w:after="0" w:before="0" w:line="240" w:lineRule="auto"/>
        <w:ind w:firstLine="480"/>
      </w:pPr>
      <w:r>
        <w:rPr>
          <w:rFonts w:ascii="Times New Roman" w:cs="Times New Roman" w:eastAsia="Times New Roman" w:hAnsi="Times New Roman"/>
          <w:color w:val="000000"/>
          <w:sz w:val="24"/>
          <w:szCs w:val="24"/>
        </w:rPr>
        <w:t xml:space="preserve">The exercise is scheduled for the first day of Week 14, near the end of the semester and after both take-home briefs have been written and returned. That placement is deliberate and it matters. Students need to have internalized the structure of a brief before they can produce one at speed, and they need to have had their earlier work marked against the same rubric so the standard is not a surprise.</w:t>
      </w:r>
    </w:p>
    <w:p>
      <w:pPr>
        <w:spacing w:after="0" w:before="0" w:line="240" w:lineRule="auto"/>
        <w:ind w:firstLine="480"/>
      </w:pPr>
      <w:r>
        <w:rPr>
          <w:rFonts w:ascii="Times New Roman" w:cs="Times New Roman" w:eastAsia="Times New Roman" w:hAnsi="Times New Roman"/>
          <w:color w:val="000000"/>
          <w:sz w:val="24"/>
          <w:szCs w:val="24"/>
        </w:rPr>
        <w:t xml:space="preserve">It is weighted at five percent, against fifteen percent for each of the first two briefs. The low stakes are part of the design: the exercise is genuinely uncomfortable, and students take the risk more readily when the grade cannot sink them. Raising the weight would change what they do with the hour, and not for the better.</w:t>
      </w:r>
    </w:p>
    <w:p>
      <w:pPr>
        <w:pStyle w:val="Heading1"/>
        <w:spacing w:after="120" w:before="340" w:line="240" w:lineRule="auto"/>
      </w:pPr>
      <w:r>
        <w:rPr>
          <w:rFonts w:ascii="Times New Roman" w:cs="Times New Roman" w:eastAsia="Times New Roman" w:hAnsi="Times New Roman"/>
          <w:b/>
          <w:bCs/>
          <w:color w:val="000000"/>
          <w:sz w:val="28"/>
          <w:szCs w:val="28"/>
        </w:rPr>
        <w:t xml:space="preserve">Setting it up</w:t>
      </w:r>
    </w:p>
    <w:p>
      <w:pPr>
        <w:spacing w:after="0" w:before="0" w:line="240" w:lineRule="auto"/>
        <w:ind w:firstLine="480"/>
      </w:pPr>
      <w:r>
        <w:rPr>
          <w:rFonts w:ascii="Times New Roman" w:cs="Times New Roman" w:eastAsia="Times New Roman" w:hAnsi="Times New Roman"/>
          <w:color w:val="000000"/>
          <w:sz w:val="24"/>
          <w:szCs w:val="24"/>
        </w:rPr>
        <w:t xml:space="preserve">Say nothing beforehand. The syllabus lists an impromptu brief in Week 14, which is fair warning, but the prompt itself should not be previewed and the date should not be reconfirmed the class before. Students arrive expecting a normal session.</w:t>
      </w:r>
    </w:p>
    <w:p>
      <w:pPr>
        <w:spacing w:after="0" w:before="0" w:line="240" w:lineRule="auto"/>
        <w:ind w:firstLine="480"/>
      </w:pPr>
      <w:r>
        <w:rPr>
          <w:rFonts w:ascii="Times New Roman" w:cs="Times New Roman" w:eastAsia="Times New Roman" w:hAnsi="Times New Roman"/>
          <w:color w:val="000000"/>
          <w:sz w:val="24"/>
          <w:szCs w:val="24"/>
        </w:rPr>
        <w:t xml:space="preserve">Open in character and stay there. The prompt is delivered as a message from a supervisor who is not in the room and is not available for questions, which is both realistic and useful: it forecloses the twenty minutes of clarifying questions that would otherwise eat the hour. If a student asks what counts, the answer is that the supervisor is in meetings all afternoon and they will have to use their judgment. That is not a dodge. Using judgment in the absence of instruction is the thing being assessed.</w:t>
      </w:r>
    </w:p>
    <w:p>
      <w:pPr>
        <w:spacing w:after="0" w:before="0" w:line="240" w:lineRule="auto"/>
        <w:ind w:firstLine="480"/>
      </w:pPr>
      <w:r>
        <w:rPr>
          <w:rFonts w:ascii="Times New Roman" w:cs="Times New Roman" w:eastAsia="Times New Roman" w:hAnsi="Times New Roman"/>
          <w:color w:val="000000"/>
          <w:sz w:val="24"/>
          <w:szCs w:val="24"/>
        </w:rPr>
        <w:t xml:space="preserve">Set the clock visibly and say what is due. One page. A specific recommendation, not a survey of options. Sources cited well enough that someone could check them. Then leave them alone.</w:t>
      </w:r>
    </w:p>
    <w:p>
      <w:pPr>
        <w:pStyle w:val="Heading1"/>
        <w:spacing w:after="120" w:before="340" w:line="240" w:lineRule="auto"/>
      </w:pPr>
      <w:r>
        <w:rPr>
          <w:rFonts w:ascii="Times New Roman" w:cs="Times New Roman" w:eastAsia="Times New Roman" w:hAnsi="Times New Roman"/>
          <w:b/>
          <w:bCs/>
          <w:color w:val="000000"/>
          <w:sz w:val="28"/>
          <w:szCs w:val="28"/>
        </w:rPr>
        <w:t xml:space="preserve">The prompts</w:t>
      </w:r>
    </w:p>
    <w:p>
      <w:pPr>
        <w:spacing w:after="0" w:before="0" w:line="240" w:lineRule="auto"/>
        <w:ind w:firstLine="480"/>
      </w:pPr>
      <w:r>
        <w:rPr>
          <w:rFonts w:ascii="Times New Roman" w:cs="Times New Roman" w:eastAsia="Times New Roman" w:hAnsi="Times New Roman"/>
          <w:color w:val="000000"/>
          <w:sz w:val="24"/>
          <w:szCs w:val="24"/>
        </w:rPr>
        <w:t xml:space="preserve">Two prompts are in rotation. Each one is short, each names a real-sounding decision with a real deadline, and each ends by handing the problem to the student. Swap in your own name and institution.</w:t>
      </w:r>
    </w:p>
    <w:p>
      <w:pPr>
        <w:spacing w:after="40" w:before="160" w:line="240" w:lineRule="auto"/>
      </w:pPr>
      <w:r>
        <w:rPr>
          <w:rFonts w:ascii="Times New Roman" w:cs="Times New Roman" w:eastAsia="Times New Roman" w:hAnsi="Times New Roman"/>
          <w:b/>
          <w:bCs/>
          <w:color w:val="000000"/>
          <w:sz w:val="24"/>
          <w:szCs w:val="24"/>
        </w:rPr>
        <w:t xml:space="preserve">Prompt 1 — Environmental preservation fund</w:t>
      </w:r>
    </w:p>
    <w:p>
      <w:pPr>
        <w:spacing w:after="0" w:before="0" w:line="240" w:lineRule="auto"/>
        <w:ind w:left="480" w:right="480"/>
      </w:pPr>
      <w:r>
        <w:rPr>
          <w:rFonts w:ascii="Times New Roman" w:cs="Times New Roman" w:eastAsia="Times New Roman" w:hAnsi="Times New Roman"/>
          <w:i/>
          <w:iCs/>
          <w:color w:val="000000"/>
          <w:sz w:val="24"/>
          <w:szCs w:val="24"/>
        </w:rPr>
        <w:t xml:space="preserve">Dr. Clark is the head of the Pennsylvania Department of Environmental Protection. The Governor of Pennsylvania just announced a 10-million dollar fund for environmental preservation projects and asked for proposals from several different government agencies. Dr. Clark is very busy, so he forgot about the deadline. He needs a memo detailing a specific proposal in the next two hours. Thanks!</w:t>
      </w:r>
    </w:p>
    <w:p>
      <w:pPr>
        <w:spacing w:after="40" w:before="160" w:line="240" w:lineRule="auto"/>
      </w:pPr>
      <w:r>
        <w:rPr>
          <w:rFonts w:ascii="Times New Roman" w:cs="Times New Roman" w:eastAsia="Times New Roman" w:hAnsi="Times New Roman"/>
          <w:b/>
          <w:bCs/>
          <w:color w:val="000000"/>
          <w:sz w:val="24"/>
          <w:szCs w:val="24"/>
        </w:rPr>
        <w:t xml:space="preserve">Prompt 2 — Drug-related crime and deaths</w:t>
      </w:r>
    </w:p>
    <w:p>
      <w:pPr>
        <w:spacing w:after="0" w:before="0" w:line="240" w:lineRule="auto"/>
        <w:ind w:left="480" w:right="480"/>
      </w:pPr>
      <w:r>
        <w:rPr>
          <w:rFonts w:ascii="Times New Roman" w:cs="Times New Roman" w:eastAsia="Times New Roman" w:hAnsi="Times New Roman"/>
          <w:i/>
          <w:iCs/>
          <w:color w:val="000000"/>
          <w:sz w:val="24"/>
          <w:szCs w:val="24"/>
        </w:rPr>
        <w:t xml:space="preserve">Dr. Clark is the Governor of Pennsylvania. A well-known and well-respected federal agency just released a report that drug-related crimes and drug-related deaths increased by 20% in the State of Pennsylvania over the last year. The media and the public are very upset. The report was only released this morning, but already a press conference was scheduled for this afternoon. Dr. Clark needs to propose a tangible plan to address the problem. You have two hours to prepare a memo detailing a specific proposal. Thanks!</w:t>
      </w:r>
    </w:p>
    <w:p>
      <w:pPr>
        <w:spacing w:after="60" w:before="120"/>
      </w:pPr>
      <w:r>
        <w:rPr>
          <w:rFonts w:ascii="Times New Roman" w:cs="Times New Roman" w:eastAsia="Times New Roman" w:hAnsi="Times New Roman"/>
          <w:color w:val="000000"/>
          <w:sz w:val="24"/>
          <w:szCs w:val="24"/>
        </w:rPr>
        <w:t xml:space="preserve"/>
      </w:r>
    </w:p>
    <w:p>
      <w:pPr>
        <w:spacing w:after="0" w:before="0" w:line="240" w:lineRule="auto"/>
        <w:ind w:firstLine="480"/>
      </w:pPr>
      <w:r>
        <w:rPr>
          <w:rFonts w:ascii="Times New Roman" w:cs="Times New Roman" w:eastAsia="Times New Roman" w:hAnsi="Times New Roman"/>
          <w:color w:val="000000"/>
          <w:sz w:val="24"/>
          <w:szCs w:val="24"/>
        </w:rPr>
        <w:t xml:space="preserve">The two are not interchangeable, and the difference is worth knowing before you pick one. The environmental fund prompt is the cleaner and the better first choice: it is a competitive proposal with a fixed dollar figure, so students have to choose a project and justify its cost against rivals, and there is abundant state-level material to work from within the hour. The drug policy prompt is the harder of the two, because the evidence base is contested and a student who reads carefully will find that the obvious answers are disputed; it also carries a press conference in the afternoon, which sharpens the deadline but tempts students into writing talking points instead of a recommendation. Use the first with a class that has not done this before, and the second with one that has.</w:t>
      </w:r>
    </w:p>
    <w:p>
      <w:pPr>
        <w:spacing w:after="0" w:before="0" w:line="240" w:lineRule="auto"/>
        <w:ind w:firstLine="480"/>
      </w:pPr>
      <w:r>
        <w:rPr>
          <w:rFonts w:ascii="Times New Roman" w:cs="Times New Roman" w:eastAsia="Times New Roman" w:hAnsi="Times New Roman"/>
          <w:color w:val="000000"/>
          <w:sz w:val="24"/>
          <w:szCs w:val="24"/>
        </w:rPr>
        <w:t xml:space="preserve">Writing a third is not difficult, and the pattern is visible in both. Put the instructor in a named institutional role with authority to act, give the problem a deadline that has already been missed or cannot move, make the ask specific enough that a student can tell when they are done, and close by handing it over rather than explaining it. Keep it under a hundred and fifty words. If it takes longer than that to set up, the scenario is too complicated for an hour.</w:t>
      </w:r>
    </w:p>
    <w:p>
      <w:pPr>
        <w:spacing w:after="0" w:before="0" w:line="240" w:lineRule="auto"/>
        <w:ind w:firstLine="480"/>
      </w:pPr>
      <w:r>
        <w:rPr>
          <w:rFonts w:ascii="Times New Roman" w:cs="Times New Roman" w:eastAsia="Times New Roman" w:hAnsi="Times New Roman"/>
          <w:color w:val="000000"/>
          <w:sz w:val="24"/>
          <w:szCs w:val="24"/>
        </w:rPr>
        <w:t xml:space="preserve">The prompts say two hours; the syllabus says the class period. Both are used. A seventy-five minute session is enough for a one-page brief if the prompt is delivered in the first five minutes, and a two-hour block produces noticeably better sourcing. Decide which you are running before the day, and tell students the real number rather than the number printed on the prompt.</w:t>
      </w:r>
    </w:p>
    <w:p>
      <w:pPr>
        <w:pStyle w:val="Heading1"/>
        <w:spacing w:after="120" w:before="340" w:line="240" w:lineRule="auto"/>
      </w:pPr>
      <w:r>
        <w:rPr>
          <w:rFonts w:ascii="Times New Roman" w:cs="Times New Roman" w:eastAsia="Times New Roman" w:hAnsi="Times New Roman"/>
          <w:b/>
          <w:bCs/>
          <w:color w:val="000000"/>
          <w:sz w:val="28"/>
          <w:szCs w:val="28"/>
        </w:rPr>
        <w:t xml:space="preserve">Running the hour</w:t>
      </w:r>
    </w:p>
    <w:p>
      <w:pPr>
        <w:spacing w:after="0" w:before="0" w:line="240" w:lineRule="auto"/>
        <w:ind w:firstLine="480"/>
      </w:pPr>
      <w:r>
        <w:rPr>
          <w:rFonts w:ascii="Times New Roman" w:cs="Times New Roman" w:eastAsia="Times New Roman" w:hAnsi="Times New Roman"/>
          <w:color w:val="000000"/>
          <w:sz w:val="24"/>
          <w:szCs w:val="24"/>
        </w:rPr>
        <w:t xml:space="preserve">Students work individually and may use anything they can reach: databases, agency sites, the library, one another. There is no point pretending the constraint is access. The constraint is time, and time is the only thing being enforced.</w:t>
      </w:r>
    </w:p>
    <w:p>
      <w:pPr>
        <w:spacing w:after="0" w:before="0" w:line="240" w:lineRule="auto"/>
        <w:ind w:firstLine="480"/>
      </w:pPr>
      <w:r>
        <w:rPr>
          <w:rFonts w:ascii="Times New Roman" w:cs="Times New Roman" w:eastAsia="Times New Roman" w:hAnsi="Times New Roman"/>
          <w:color w:val="000000"/>
          <w:sz w:val="24"/>
          <w:szCs w:val="24"/>
        </w:rPr>
        <w:t xml:space="preserve">The instructor should stay in the room and stay visible but answer substantive questions in character, which usually means not answering them. It is worth walking the room once at about the twenty-minute mark, because that is when the students who have not yet narrowed the problem become identifiable, and a single question - what is the one thing you are recommending - is often enough to unstick them without giving anything away.</w:t>
      </w:r>
    </w:p>
    <w:p>
      <w:pPr>
        <w:spacing w:after="0" w:before="0" w:line="240" w:lineRule="auto"/>
        <w:ind w:firstLine="480"/>
      </w:pPr>
      <w:r>
        <w:rPr>
          <w:rFonts w:ascii="Times New Roman" w:cs="Times New Roman" w:eastAsia="Times New Roman" w:hAnsi="Times New Roman"/>
          <w:color w:val="000000"/>
          <w:sz w:val="24"/>
          <w:szCs w:val="24"/>
        </w:rPr>
        <w:t xml:space="preserve">Collect at the deadline, not after it. The deadline is the assignment. A brief handed in eight minutes late has failed the part of the exercise that matters most, and saying so once, gently, at the start, saves an awkward conversation later.</w:t>
      </w:r>
    </w:p>
    <w:p>
      <w:pPr>
        <w:pStyle w:val="Heading1"/>
        <w:spacing w:after="120" w:before="340" w:line="240" w:lineRule="auto"/>
      </w:pPr>
      <w:r>
        <w:rPr>
          <w:rFonts w:ascii="Times New Roman" w:cs="Times New Roman" w:eastAsia="Times New Roman" w:hAnsi="Times New Roman"/>
          <w:b/>
          <w:bCs/>
          <w:color w:val="000000"/>
          <w:sz w:val="28"/>
          <w:szCs w:val="28"/>
        </w:rPr>
        <w:t xml:space="preserve">Grading</w:t>
      </w:r>
    </w:p>
    <w:p>
      <w:pPr>
        <w:spacing w:after="0" w:before="0" w:line="240" w:lineRule="auto"/>
        <w:ind w:firstLine="480"/>
      </w:pPr>
      <w:r>
        <w:rPr>
          <w:rFonts w:ascii="Times New Roman" w:cs="Times New Roman" w:eastAsia="Times New Roman" w:hAnsi="Times New Roman"/>
          <w:color w:val="000000"/>
          <w:sz w:val="24"/>
          <w:szCs w:val="24"/>
        </w:rPr>
        <w:t xml:space="preserve">The same rubric applies to all three briefs, which is what lets students calibrate. Weights are of the brief grade, not the course grade.</w:t>
      </w:r>
    </w:p>
    <w:p>
      <w:pPr>
        <w:spacing w:after="80" w:before="100"/>
      </w:pPr>
      <w:r>
        <w:rPr>
          <w:rFonts w:ascii="Times New Roman" w:cs="Times New Roman" w:eastAsia="Times New Roman" w:hAnsi="Times New Roman"/>
          <w:color w:val="000000"/>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1100"/>
        <w:gridCol w:w="5760"/>
      </w:tblGrid>
      <w:tr>
        <w:trPr>
          <w:tblHeader/>
        </w:trPr>
        <w:tc>
          <w:tcPr>
            <w:tcW w:type="dxa" w:w="2500"/>
            <w:shd w:fill="EFEFEF" w:color="auto" w:val="clear"/>
            <w:tcMar>
              <w:top w:type="dxa" w:w="60"/>
              <w:left w:type="dxa" w:w="120"/>
              <w:bottom w:type="dxa" w:w="60"/>
              <w:right w:type="dxa" w:w="120"/>
            </w:tcMar>
          </w:tcPr>
          <w:p>
            <w:pPr>
              <w:spacing w:after="0" w:before="0" w:line="240" w:lineRule="auto"/>
            </w:pPr>
            <w:r>
              <w:rPr>
                <w:rFonts w:ascii="Times New Roman" w:cs="Times New Roman" w:eastAsia="Times New Roman" w:hAnsi="Times New Roman"/>
                <w:b/>
                <w:bCs/>
                <w:color w:val="000000"/>
                <w:sz w:val="24"/>
                <w:szCs w:val="24"/>
              </w:rPr>
              <w:t xml:space="preserve">Component</w:t>
            </w:r>
          </w:p>
        </w:tc>
        <w:tc>
          <w:tcPr>
            <w:tcW w:type="dxa" w:w="1100"/>
            <w:shd w:fill="EFEFEF" w:color="auto" w:val="clear"/>
            <w:tcMar>
              <w:top w:type="dxa" w:w="60"/>
              <w:left w:type="dxa" w:w="120"/>
              <w:bottom w:type="dxa" w:w="60"/>
              <w:right w:type="dxa" w:w="120"/>
            </w:tcMar>
          </w:tcPr>
          <w:p>
            <w:pPr>
              <w:spacing w:after="0" w:before="0" w:line="240" w:lineRule="auto"/>
            </w:pPr>
            <w:r>
              <w:rPr>
                <w:rFonts w:ascii="Times New Roman" w:cs="Times New Roman" w:eastAsia="Times New Roman" w:hAnsi="Times New Roman"/>
                <w:b/>
                <w:bCs/>
                <w:color w:val="000000"/>
                <w:sz w:val="24"/>
                <w:szCs w:val="24"/>
              </w:rPr>
              <w:t xml:space="preserve">Weight</w:t>
            </w:r>
          </w:p>
        </w:tc>
        <w:tc>
          <w:tcPr>
            <w:tcW w:type="dxa" w:w="5760"/>
            <w:shd w:fill="EFEFEF" w:color="auto" w:val="clear"/>
            <w:tcMar>
              <w:top w:type="dxa" w:w="60"/>
              <w:left w:type="dxa" w:w="120"/>
              <w:bottom w:type="dxa" w:w="60"/>
              <w:right w:type="dxa" w:w="120"/>
            </w:tcMar>
          </w:tcPr>
          <w:p>
            <w:pPr>
              <w:spacing w:after="0" w:before="0" w:line="240" w:lineRule="auto"/>
            </w:pPr>
            <w:r>
              <w:rPr>
                <w:rFonts w:ascii="Times New Roman" w:cs="Times New Roman" w:eastAsia="Times New Roman" w:hAnsi="Times New Roman"/>
                <w:b/>
                <w:bCs/>
                <w:color w:val="000000"/>
                <w:sz w:val="24"/>
                <w:szCs w:val="24"/>
              </w:rPr>
              <w:t xml:space="preserve">What to look for</w:t>
            </w:r>
          </w:p>
        </w:tc>
      </w:tr>
      <w:tr>
        <w:tc>
          <w:tcPr>
            <w:tcW w:type="dxa" w:w="2500"/>
            <w:tcMar>
              <w:top w:type="dxa" w:w="60"/>
              <w:left w:type="dxa" w:w="120"/>
              <w:bottom w:type="dxa" w:w="60"/>
              <w:right w:type="dxa" w:w="120"/>
            </w:tcMar>
          </w:tcPr>
          <w:p>
            <w:pPr>
              <w:spacing w:after="0" w:before="0" w:line="240" w:lineRule="auto"/>
            </w:pPr>
            <w:r>
              <w:rPr>
                <w:rFonts w:ascii="Times New Roman" w:cs="Times New Roman" w:eastAsia="Times New Roman" w:hAnsi="Times New Roman"/>
                <w:b/>
                <w:bCs/>
                <w:color w:val="000000"/>
                <w:sz w:val="24"/>
                <w:szCs w:val="24"/>
              </w:rPr>
              <w:t xml:space="preserve">Statement of the problem</w:t>
            </w:r>
          </w:p>
        </w:tc>
        <w:tc>
          <w:tcPr>
            <w:tcW w:type="dxa" w:w="110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15%</w:t>
            </w:r>
          </w:p>
        </w:tc>
        <w:tc>
          <w:tcPr>
            <w:tcW w:type="dxa" w:w="576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Is the problem narrowed to something policy can act on, described in enough detail to be recognizable, and justified as a problem rather than assumed to be one?</w:t>
            </w:r>
          </w:p>
        </w:tc>
      </w:tr>
      <w:tr>
        <w:tc>
          <w:tcPr>
            <w:tcW w:type="dxa" w:w="2500"/>
            <w:tcMar>
              <w:top w:type="dxa" w:w="60"/>
              <w:left w:type="dxa" w:w="120"/>
              <w:bottom w:type="dxa" w:w="60"/>
              <w:right w:type="dxa" w:w="120"/>
            </w:tcMar>
          </w:tcPr>
          <w:p>
            <w:pPr>
              <w:spacing w:after="0" w:before="0" w:line="240" w:lineRule="auto"/>
            </w:pPr>
            <w:r>
              <w:rPr>
                <w:rFonts w:ascii="Times New Roman" w:cs="Times New Roman" w:eastAsia="Times New Roman" w:hAnsi="Times New Roman"/>
                <w:b/>
                <w:bCs/>
                <w:color w:val="000000"/>
                <w:sz w:val="24"/>
                <w:szCs w:val="24"/>
              </w:rPr>
              <w:t xml:space="preserve">Background</w:t>
            </w:r>
          </w:p>
        </w:tc>
        <w:tc>
          <w:tcPr>
            <w:tcW w:type="dxa" w:w="110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30%</w:t>
            </w:r>
          </w:p>
        </w:tc>
        <w:tc>
          <w:tcPr>
            <w:tcW w:type="dxa" w:w="576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Causes of the problem and the relevant legal and policy landscape. Under time pressure this is the section that collapses first, and it is the best single diagnostic of how well the student triaged.</w:t>
            </w:r>
          </w:p>
        </w:tc>
      </w:tr>
      <w:tr>
        <w:tc>
          <w:tcPr>
            <w:tcW w:type="dxa" w:w="2500"/>
            <w:tcMar>
              <w:top w:type="dxa" w:w="60"/>
              <w:left w:type="dxa" w:w="120"/>
              <w:bottom w:type="dxa" w:w="60"/>
              <w:right w:type="dxa" w:w="120"/>
            </w:tcMar>
          </w:tcPr>
          <w:p>
            <w:pPr>
              <w:spacing w:after="0" w:before="0" w:line="240" w:lineRule="auto"/>
            </w:pPr>
            <w:r>
              <w:rPr>
                <w:rFonts w:ascii="Times New Roman" w:cs="Times New Roman" w:eastAsia="Times New Roman" w:hAnsi="Times New Roman"/>
                <w:b/>
                <w:bCs/>
                <w:color w:val="000000"/>
                <w:sz w:val="24"/>
                <w:szCs w:val="24"/>
              </w:rPr>
              <w:t xml:space="preserve">Response and recommendation</w:t>
            </w:r>
          </w:p>
        </w:tc>
        <w:tc>
          <w:tcPr>
            <w:tcW w:type="dxa" w:w="110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30%</w:t>
            </w:r>
          </w:p>
        </w:tc>
        <w:tc>
          <w:tcPr>
            <w:tcW w:type="dxa" w:w="576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Specific and detailed rather than directional, with cost-benefit reasoning of some kind and research behind it. A recommendation with no price attached is incomplete even when the prompt names no budget.</w:t>
            </w:r>
          </w:p>
        </w:tc>
      </w:tr>
      <w:tr>
        <w:tc>
          <w:tcPr>
            <w:tcW w:type="dxa" w:w="2500"/>
            <w:tcMar>
              <w:top w:type="dxa" w:w="60"/>
              <w:left w:type="dxa" w:w="120"/>
              <w:bottom w:type="dxa" w:w="60"/>
              <w:right w:type="dxa" w:w="120"/>
            </w:tcMar>
          </w:tcPr>
          <w:p>
            <w:pPr>
              <w:spacing w:after="0" w:before="0" w:line="240" w:lineRule="auto"/>
            </w:pPr>
            <w:r>
              <w:rPr>
                <w:rFonts w:ascii="Times New Roman" w:cs="Times New Roman" w:eastAsia="Times New Roman" w:hAnsi="Times New Roman"/>
                <w:b/>
                <w:bCs/>
                <w:color w:val="000000"/>
                <w:sz w:val="24"/>
                <w:szCs w:val="24"/>
              </w:rPr>
              <w:t xml:space="preserve">Overall quality</w:t>
            </w:r>
          </w:p>
        </w:tc>
        <w:tc>
          <w:tcPr>
            <w:tcW w:type="dxa" w:w="110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25%</w:t>
            </w:r>
          </w:p>
        </w:tc>
        <w:tc>
          <w:tcPr>
            <w:tcW w:type="dxa" w:w="5760"/>
            <w:tcMar>
              <w:top w:type="dxa" w:w="60"/>
              <w:left w:type="dxa" w:w="120"/>
              <w:bottom w:type="dxa" w:w="60"/>
              <w:right w:type="dxa" w:w="120"/>
            </w:tcMar>
          </w:tcPr>
          <w:p>
            <w:pPr>
              <w:spacing w:after="0" w:before="0" w:line="240" w:lineRule="auto"/>
            </w:pPr>
            <w:r>
              <w:rPr>
                <w:rFonts w:ascii="Times New Roman" w:cs="Times New Roman" w:eastAsia="Times New Roman" w:hAnsi="Times New Roman"/>
                <w:b w:val="false"/>
                <w:bCs w:val="false"/>
                <w:color w:val="000000"/>
                <w:sz w:val="24"/>
                <w:szCs w:val="24"/>
              </w:rPr>
              <w:t xml:space="preserve">Grammar, structure, phrasing. Grade this as you would the take-home briefs. Students know the clock was running; so does every supervisor who has ever read something written in an hour.</w:t>
            </w:r>
          </w:p>
        </w:tc>
      </w:tr>
    </w:tbl>
    <w:p>
      <w:pPr>
        <w:spacing w:after="40" w:before="80"/>
      </w:pPr>
      <w:r>
        <w:rPr>
          <w:rFonts w:ascii="Times New Roman" w:cs="Times New Roman" w:eastAsia="Times New Roman" w:hAnsi="Times New Roman"/>
          <w:color w:val="000000"/>
          <w:sz w:val="24"/>
          <w:szCs w:val="24"/>
        </w:rPr>
        <w:t xml:space="preserve"/>
      </w:r>
    </w:p>
    <w:p>
      <w:pPr>
        <w:spacing w:after="0" w:before="0" w:line="240" w:lineRule="auto"/>
        <w:ind w:firstLine="480"/>
      </w:pPr>
      <w:r>
        <w:rPr>
          <w:rFonts w:ascii="Times New Roman" w:cs="Times New Roman" w:eastAsia="Times New Roman" w:hAnsi="Times New Roman"/>
          <w:color w:val="000000"/>
          <w:sz w:val="24"/>
          <w:szCs w:val="24"/>
        </w:rPr>
        <w:t xml:space="preserve">Grade against the standard, not against the conditions. The temptation is to mark generously because an hour is not long, and it is the wrong instinct: the point of the exercise is that the work still has to be good. What does change is the comment. On the take-home briefs the useful feedback is about depth; here it is almost always about triage, and the most valuable sentence you can write is which part of the hour the student should have spent differently.</w:t>
      </w:r>
    </w:p>
    <w:p>
      <w:pPr>
        <w:pStyle w:val="Heading1"/>
        <w:spacing w:after="120" w:before="340" w:line="240" w:lineRule="auto"/>
      </w:pPr>
      <w:r>
        <w:rPr>
          <w:rFonts w:ascii="Times New Roman" w:cs="Times New Roman" w:eastAsia="Times New Roman" w:hAnsi="Times New Roman"/>
          <w:b/>
          <w:bCs/>
          <w:color w:val="000000"/>
          <w:sz w:val="28"/>
          <w:szCs w:val="28"/>
        </w:rPr>
        <w:t xml:space="preserve">Adapting it</w:t>
      </w:r>
    </w:p>
    <w:p>
      <w:pPr>
        <w:spacing w:after="0" w:before="0" w:line="240" w:lineRule="auto"/>
        <w:ind w:firstLine="480"/>
      </w:pPr>
      <w:r>
        <w:rPr>
          <w:rFonts w:ascii="Times New Roman" w:cs="Times New Roman" w:eastAsia="Times New Roman" w:hAnsi="Times New Roman"/>
          <w:color w:val="000000"/>
          <w:sz w:val="24"/>
          <w:szCs w:val="24"/>
        </w:rPr>
        <w:t xml:space="preserve">Nothing about the design is specific to public policy. The requirements are a plausible institutional role for the instructor, a decision with a deadline that cannot move, and a deliverable small enough to finish in one sitting. A comparative politics course can ask for a country risk note before a delegation lands. A research methods course can ask whether a finding is solid enough to go in a press release. A senior seminar can ask for a one-page reply to a reviewer.</w:t>
      </w:r>
    </w:p>
    <w:p>
      <w:pPr>
        <w:spacing w:after="0" w:before="0" w:line="240" w:lineRule="auto"/>
        <w:ind w:firstLine="480"/>
      </w:pPr>
      <w:r>
        <w:rPr>
          <w:rFonts w:ascii="Times New Roman" w:cs="Times New Roman" w:eastAsia="Times New Roman" w:hAnsi="Times New Roman"/>
          <w:color w:val="000000"/>
          <w:sz w:val="24"/>
          <w:szCs w:val="24"/>
        </w:rPr>
        <w:t xml:space="preserve">Two things are worth keeping whatever the subject. The first is that the instructor is not the instructor: the request comes from someone with authority who is unavailable, which is what removes the option of asking for the rubric. The second is that the deliverable is short. A one-page ceiling forces the choice the exercise exists to teach, and every extra page makes it easier to avoid.</w:t>
      </w:r>
    </w:p>
    <w:p>
      <w:pPr>
        <w:pStyle w:val="Heading1"/>
        <w:spacing w:after="120" w:before="340" w:line="240" w:lineRule="auto"/>
      </w:pPr>
      <w:r>
        <w:rPr>
          <w:rFonts w:ascii="Times New Roman" w:cs="Times New Roman" w:eastAsia="Times New Roman" w:hAnsi="Times New Roman"/>
          <w:b/>
          <w:bCs/>
          <w:color w:val="000000"/>
          <w:sz w:val="28"/>
          <w:szCs w:val="28"/>
        </w:rPr>
        <w:t xml:space="preserve">What tends to go wrong</w:t>
      </w:r>
    </w:p>
    <w:p>
      <w:pPr>
        <w:spacing w:after="0" w:before="100" w:line="240" w:lineRule="auto"/>
        <w:ind w:left="360" w:hanging="360"/>
      </w:pPr>
      <w:r>
        <w:rPr>
          <w:rFonts w:ascii="Times New Roman" w:cs="Times New Roman" w:eastAsia="Times New Roman" w:hAnsi="Times New Roman"/>
          <w:b/>
          <w:bCs/>
          <w:color w:val="000000"/>
          <w:sz w:val="24"/>
          <w:szCs w:val="24"/>
        </w:rPr>
        <w:t xml:space="preserve">1. The problem is never narrowed. </w:t>
      </w:r>
      <w:r>
        <w:rPr>
          <w:rFonts w:ascii="Times New Roman" w:cs="Times New Roman" w:eastAsia="Times New Roman" w:hAnsi="Times New Roman"/>
          <w:color w:val="000000"/>
          <w:sz w:val="24"/>
          <w:szCs w:val="24"/>
        </w:rPr>
        <w:t xml:space="preserve">The single most common failure. A student spends fifty minutes reading about the opioid crisis and writes four sentences of recommendation. The twenty-minute walk around the room is the cheapest fix.</w:t>
      </w:r>
    </w:p>
    <w:p>
      <w:pPr>
        <w:spacing w:after="0" w:before="100" w:line="240" w:lineRule="auto"/>
        <w:ind w:left="360" w:hanging="360"/>
      </w:pPr>
      <w:r>
        <w:rPr>
          <w:rFonts w:ascii="Times New Roman" w:cs="Times New Roman" w:eastAsia="Times New Roman" w:hAnsi="Times New Roman"/>
          <w:b/>
          <w:bCs/>
          <w:color w:val="000000"/>
          <w:sz w:val="24"/>
          <w:szCs w:val="24"/>
        </w:rPr>
        <w:t xml:space="preserve">2. The brief surveys instead of recommending. </w:t>
      </w:r>
      <w:r>
        <w:rPr>
          <w:rFonts w:ascii="Times New Roman" w:cs="Times New Roman" w:eastAsia="Times New Roman" w:hAnsi="Times New Roman"/>
          <w:color w:val="000000"/>
          <w:sz w:val="24"/>
          <w:szCs w:val="24"/>
        </w:rPr>
        <w:t xml:space="preserve">Students trained on the take-home format default to laying out options evenhandedly. Say explicitly, at the start, that the supervisor wants a recommendation and that a list of considerations is not one.</w:t>
      </w:r>
    </w:p>
    <w:p>
      <w:pPr>
        <w:spacing w:after="0" w:before="100" w:line="240" w:lineRule="auto"/>
        <w:ind w:left="360" w:hanging="360"/>
      </w:pPr>
      <w:r>
        <w:rPr>
          <w:rFonts w:ascii="Times New Roman" w:cs="Times New Roman" w:eastAsia="Times New Roman" w:hAnsi="Times New Roman"/>
          <w:b/>
          <w:bCs/>
          <w:color w:val="000000"/>
          <w:sz w:val="24"/>
          <w:szCs w:val="24"/>
        </w:rPr>
        <w:t xml:space="preserve">3. Sources are asserted rather than cited. </w:t>
      </w:r>
      <w:r>
        <w:rPr>
          <w:rFonts w:ascii="Times New Roman" w:cs="Times New Roman" w:eastAsia="Times New Roman" w:hAnsi="Times New Roman"/>
          <w:color w:val="000000"/>
          <w:sz w:val="24"/>
          <w:szCs w:val="24"/>
        </w:rPr>
        <w:t xml:space="preserve">Under time pressure, half-remembered figures appear without attribution. A one-line requirement - every number needs a source a reader could find - costs nothing and fixes most of it.</w:t>
      </w:r>
    </w:p>
    <w:p>
      <w:pPr>
        <w:spacing w:after="0" w:before="100" w:line="240" w:lineRule="auto"/>
        <w:ind w:left="360" w:hanging="360"/>
      </w:pPr>
      <w:r>
        <w:rPr>
          <w:rFonts w:ascii="Times New Roman" w:cs="Times New Roman" w:eastAsia="Times New Roman" w:hAnsi="Times New Roman"/>
          <w:b/>
          <w:bCs/>
          <w:color w:val="000000"/>
          <w:sz w:val="24"/>
          <w:szCs w:val="24"/>
        </w:rPr>
        <w:t xml:space="preserve">4. The theater breaks. </w:t>
      </w:r>
      <w:r>
        <w:rPr>
          <w:rFonts w:ascii="Times New Roman" w:cs="Times New Roman" w:eastAsia="Times New Roman" w:hAnsi="Times New Roman"/>
          <w:color w:val="000000"/>
          <w:sz w:val="24"/>
          <w:szCs w:val="24"/>
        </w:rPr>
        <w:t xml:space="preserve">If the instructor steps out of role to clarify expectations, the exercise turns back into an assignment and the pressure evaporates. Answer in character, or say that the supervisor is unreachable.</w:t>
      </w:r>
    </w:p>
    <w:p>
      <w:pPr>
        <w:spacing w:after="0" w:before="100" w:line="240" w:lineRule="auto"/>
        <w:ind w:left="360" w:hanging="360"/>
      </w:pPr>
      <w:r>
        <w:rPr>
          <w:rFonts w:ascii="Times New Roman" w:cs="Times New Roman" w:eastAsia="Times New Roman" w:hAnsi="Times New Roman"/>
          <w:b/>
          <w:bCs/>
          <w:color w:val="000000"/>
          <w:sz w:val="24"/>
          <w:szCs w:val="24"/>
        </w:rPr>
        <w:t xml:space="preserve">5. The prompt is previewed. </w:t>
      </w:r>
      <w:r>
        <w:rPr>
          <w:rFonts w:ascii="Times New Roman" w:cs="Times New Roman" w:eastAsia="Times New Roman" w:hAnsi="Times New Roman"/>
          <w:color w:val="000000"/>
          <w:sz w:val="24"/>
          <w:szCs w:val="24"/>
        </w:rPr>
        <w:t xml:space="preserve">Once one section knows the scenario, later sections do too. Rotate prompts across sections and across semesters rather than reusing one.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spacing w:after="0" w:before="0" w:line="24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2026-09-19T02:12:58.617Z</dcterms:created>
  <dcterms:modified xsi:type="dcterms:W3CDTF">2026-09-19T02:12:58.618Z</dcterms:modified>
</cp:coreProperties>
</file>

<file path=docProps/custom.xml><?xml version="1.0" encoding="utf-8"?>
<Properties xmlns="http://schemas.openxmlformats.org/officeDocument/2006/custom-properties" xmlns:vt="http://schemas.openxmlformats.org/officeDocument/2006/docPropsVTypes"/>
</file>